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bookmarkStart w:id="0" w:name="_GoBack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За прошедшие годы благодаря профилактическим прививкам достигнуты грандиозные успехи в борьбе с инфекционными заболеваниями: ликвидирована натуральная оспа — инфекция от которой погибало население городов и целых стран, резко снизилась по сравнению с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допрививочной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эрой заболеваемость туберкулезом, достигнуты существенные успехи в борьбе со столбняком, дифтерией, гепатитом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и другими управляемыми инфекциями. Россия в составе Европейского региона с 2002 года поддерживает статус страны, свободной от полиомиелита.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Федеральным законом от 17.09.1998 г. №157-ФЗ «об иммунопрофилактике инфекционных болезней» установлены правовые основы государственной политики в сфере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Бесплатные профилактические прививки, включенные в национальный календарь профилактических прививок, проводятся против следующих инфекций: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Вирусный гепатит B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Возбудитель содержится в мельчайших каплях крови, слез, слюны. У 95% инфицированных новорождённых развивается хроническая форма гепатита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, которая может спровоцировать развитие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цирротических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и опухолевых изменений в печени. Не у всех беременных может быть выявлена инфицированностью вирусом гепатита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при лабораторном исследовании.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Первая прививка против гепатита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проводится в течение 24 часов после рождения, вторая — через 1 месяц, третья прививка — через 6 месяцев после первой. Детям, относящимся к группам риска, вакцинация против вирусного гепатита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проводится 4-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хкратно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: 1 доза — в момент начала вакцинации, 2 доза — через месяц после 1 прививки, 3 доза — через 2 месяца от начала вакцинации, 4 доза — через 12 месяцев от начала вакцинации.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Дети, относящиеся к группам риска — это дети, родившиеся от матерей: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• носителей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HBsAg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• больных вирусным гепатитом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или перенесших вирусный гепатит В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в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третьем триместре беременности, не имеющих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результатовобследования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на маркеры гепатита В;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• потребляющих наркотические средства или психотропные вещества.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А также дети из семей, в которых есть носитель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HBsAg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или больной острым вирусным гепатитом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В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и хроническими вирусными гепатитами.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Туберкулез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Туберкулез развивается при инфицировании микобактериями туберкулеза через дыхательные пути, когда бактерия размножается в легочных альвеолах. Лечение противотуберкулезными препаратами продолжается несколько месяцев, иногда — лет.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Иммунизация против туберкулеза проводится новорожденным детям на 3-7 день жизни. Ревакцинация выполняется при отрицательном результате пробы Манту у детей в возрасте 6-7 лет.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Пневмококковая инфекция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Пневмококковая инфекция вызывается бактериями пневмококками, которых известно несколько десятков подтипов. Инфекция может проявляться развитием воспаления легких, гнойным пневмококковым менингитом, сепсисом. Многие подтипы пневмококка имеют устойчивость к широкому спектру антибиотиков, что значительно затрудняет лечение.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Вакцинация детей против пневмококковой инфекции проводится двукратно в 2 месяца, затем в 4,5 месяца с однократной ревакцинацией в 15 месяцев. Вакцинация детей, которым иммунопрофилактика против пневмококковой инфекции не была начата 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в первые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Дифтерия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У людей высокая восприимчивость к возбудителю дифтерии. Заболеваемость и смертность от дифтерии обусловлены токсином бактерии, который поражает мозг, легкие, сердце, почки, а также может вызвать удушье.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Вакцинация против дифтерии и столбняка проводится детям в возрасте 3, 4,5 и 6 месяцев. Ревакцинации выполняются в 18 месяцев, 6-7 лет и 14 лет. Вторая и третья ревакцинации проводятся анатоксинами с уменьшенным содержанием антигенов. Для взрослых старше 18 лет обязательно проводится ревакцинация каждые 10 лет от момента последней ревакцинации.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Столбняк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Возбудитель столбняка обитает в почве и может попасть в организм при ранах, уколах,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ожогах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.С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толбняк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, вызывая поражение нервной системы, у детей без госпитализации и лечения имеет 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>почти 100% смертность.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Вакцинация против дифтерии и столбняка проводится детям в возрасте 3, 4,5 и 6 месяцев. Ревакцинации выполняются в 18 месяцев, 6-7 лет и 14 лет. Вторая и третья ревакцинации проводятся анатоксинами с уменьшенным содержанием антигенов. Для взрослых старше 18 лет обязательно проводится ревакцинация каждые 10 лет от момента последней ревакцинации.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Коклюш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Заболевание, проявляющееся мучительным приступообразным (спазматическим) кашлем, который часто заканчивается рвотой. Старшие дети школьного возраста и подростки являются частыми источниками инфекции для детей до 1 года, для которых коклюш опасен осложнениями и может привести к смерти.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Иммунизация против коклюша проводятся комплексными вакцинами, содержащими дифтерийный и столбнячный анатоксины. Вакцинируют детей в 3, 4,5 и 6 месяцев. Однократная ревакцинация выполняется в 18 месяцев.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Полиомиелит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Полиомиелит —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высокозаразное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инвалидизирующее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заболевание, поражающее двигательные нейроны спинного мозга, впоследствии проводящее к развитию стойких параличей с последующим отставанием конечности в росте.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До 10 % заболевших паралитическим полиомиелитом детей погибает.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Первая и вторая вакцинации проводятся инактивированной вакциной для профилактики полиомиелита в 3 и 4,5 месяца соответственно.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Третья вакцинация в 6 месяцев и последующие ревакцинации в 18, 20 месяцев и 14 лет проводятся детям живой вакциной для профилактики полиомиелита.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Детям, относящимся к группам риска, все иммунизации проводят инактивированной вакциной для профилактики полиомиелита.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Дети, относящиеся к группам риска: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— с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иммунодефицитными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-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с аномалиями развития кишечника;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— с онкологическими заболеваниями и/или длительно получающие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иммуносупрессивную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терапию;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-дети, рожденные от матерей с ВИЧ-инфекцией;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-дети с ВИЧ-инфекцией;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-недоношенные и маловесные дети;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-дети, находящиеся в домах ребенка.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Гемофильная инфекция типа b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Возбудитель часто обнаруживается при лабораторном исследовании у больных бактериальными менингитами,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пневмониями и при сепсисе. Дети-дошкольники могут быть носителями бактерий, от которых возбудитель передается окружающим.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>Вакцинация проводится детям из вышеуказанных групп риска в возрасте 3, 4,5 и 6 месяцев с однократной ревакцинацией в 18 месяцев.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Корь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Корь характеризуется высокой температурой (вплоть до 40°С), воспалением слизистых оболочек рта и дыхательных путей, сыпью, общей интоксикацией. Корь может вызывать тяжелые осложнения: средний отит, пневмонию, коревой энцефалит, а также подострый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склерозирующий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панэнцефалит как отдаленное осложнение.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Краснуха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Краснуха сопровождается лихорадкой, сыпью (мелкими пятнышками), увеличением лимфатических узлов (особенно затылочных), интоксикацией. При заболевании краснухой беременных происходит тяжелое поражение плода.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Эпидемический пароти</w:t>
      </w:r>
      <w:proofErr w:type="gramStart"/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т(</w:t>
      </w:r>
      <w:proofErr w:type="gramEnd"/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«свинка»)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Эпидемический паротит («свинка») поражает нервную систему, околоушные железы. Зачастую паротит становится одной из причин мужского бесплодия. Схема иммунизации против кори, паротита и краснухи состоит из однократной вакцинации в 12 месяцев и однократной ревакцинации в 6 лет.</w:t>
      </w:r>
    </w:p>
    <w:p w:rsidR="004705F7" w:rsidRPr="004705F7" w:rsidRDefault="004705F7" w:rsidP="004705F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705F7">
        <w:rPr>
          <w:rFonts w:ascii="Open Sans" w:eastAsia="Times New Roman" w:hAnsi="Open Sans" w:cs="Times New Roman"/>
          <w:b/>
          <w:bCs/>
          <w:sz w:val="24"/>
          <w:szCs w:val="24"/>
          <w:bdr w:val="none" w:sz="0" w:space="0" w:color="auto" w:frame="1"/>
          <w:lang w:eastAsia="ru-RU"/>
        </w:rPr>
        <w:t>Грипп</w:t>
      </w:r>
    </w:p>
    <w:p w:rsidR="004705F7" w:rsidRPr="004705F7" w:rsidRDefault="004705F7" w:rsidP="004705F7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lastRenderedPageBreak/>
        <w:t>Грипп — одно из наиболее тяжело протекающих ОРВИ, характеризуется высокой лихорадкой и выраженной интоксикацией,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может приводить к осложнениям со стороны </w:t>
      </w:r>
      <w:proofErr w:type="gram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сердечно-сосудистой</w:t>
      </w:r>
      <w:proofErr w:type="gram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и дыхательной систем, которые в некоторых случаях могут приводить к смерти.</w:t>
      </w:r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br/>
        <w:t xml:space="preserve">Иммунизация против гриппа особенно показана детям, начиная с 6 месяцев, беременным женщинам, лицам с хроническими соматическими заболеваниями, отягощенным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аллергологическим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анамнезом и </w:t>
      </w:r>
      <w:proofErr w:type="spellStart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>иммунодефицитными</w:t>
      </w:r>
      <w:proofErr w:type="spellEnd"/>
      <w:r w:rsidRPr="004705F7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состояниями. Вакцинация проводится ежегодно перед началом эпидемического сезона гриппа.</w:t>
      </w:r>
    </w:p>
    <w:bookmarkEnd w:id="0"/>
    <w:p w:rsidR="00A70FDE" w:rsidRPr="00DA725B" w:rsidRDefault="00A70FDE"/>
    <w:sectPr w:rsidR="00A70FDE" w:rsidRPr="00DA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F7"/>
    <w:rsid w:val="004705F7"/>
    <w:rsid w:val="00A70FDE"/>
    <w:rsid w:val="00D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2</cp:revision>
  <dcterms:created xsi:type="dcterms:W3CDTF">2021-08-16T08:32:00Z</dcterms:created>
  <dcterms:modified xsi:type="dcterms:W3CDTF">2021-08-16T08:33:00Z</dcterms:modified>
</cp:coreProperties>
</file>